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4015" w14:textId="77777777" w:rsidR="00032747" w:rsidRPr="0055622D" w:rsidRDefault="00032747" w:rsidP="005521BA">
      <w:pPr>
        <w:spacing w:after="0" w:line="240" w:lineRule="auto"/>
        <w:rPr>
          <w:rFonts w:ascii="Times New Roman" w:hAnsi="Times New Roman" w:cs="Times New Roman"/>
        </w:rPr>
      </w:pPr>
    </w:p>
    <w:p w14:paraId="5D6E1AE7" w14:textId="77777777" w:rsidR="005521BA" w:rsidRDefault="005521BA" w:rsidP="007B771B">
      <w:pPr>
        <w:pBdr>
          <w:top w:val="single" w:sz="4" w:space="1" w:color="17365D" w:themeColor="text2" w:themeShade="BF"/>
          <w:left w:val="single" w:sz="4" w:space="15" w:color="17365D" w:themeColor="text2" w:themeShade="BF"/>
          <w:bottom w:val="single" w:sz="4" w:space="1" w:color="17365D" w:themeColor="text2" w:themeShade="BF"/>
          <w:right w:val="single" w:sz="4" w:space="4" w:color="17365D" w:themeColor="text2" w:themeShade="BF"/>
        </w:pBdr>
        <w:spacing w:after="0" w:line="240" w:lineRule="auto"/>
        <w:ind w:left="360"/>
        <w:rPr>
          <w:rFonts w:ascii="Times New Roman" w:hAnsi="Times New Roman" w:cs="Times New Roman"/>
        </w:rPr>
      </w:pPr>
      <w:r w:rsidRPr="0055622D">
        <w:rPr>
          <w:rFonts w:ascii="Times New Roman" w:hAnsi="Times New Roman" w:cs="Times New Roman"/>
        </w:rPr>
        <w:t xml:space="preserve">The Georgia Governor’s Office of Highway Safety (GOHS) is pleased to award this grant, with the following special conditions: </w:t>
      </w:r>
    </w:p>
    <w:p w14:paraId="640AEF60" w14:textId="77777777" w:rsidR="005521BA" w:rsidRPr="0055622D" w:rsidRDefault="005521BA" w:rsidP="007B771B">
      <w:pPr>
        <w:pBdr>
          <w:top w:val="single" w:sz="4" w:space="1" w:color="17365D" w:themeColor="text2" w:themeShade="BF"/>
          <w:left w:val="single" w:sz="4" w:space="15" w:color="17365D" w:themeColor="text2" w:themeShade="BF"/>
          <w:bottom w:val="single" w:sz="4" w:space="1" w:color="17365D" w:themeColor="text2" w:themeShade="BF"/>
          <w:right w:val="single" w:sz="4" w:space="4" w:color="17365D" w:themeColor="text2" w:themeShade="BF"/>
        </w:pBdr>
        <w:spacing w:after="0" w:line="240" w:lineRule="auto"/>
        <w:ind w:left="360"/>
        <w:rPr>
          <w:rFonts w:ascii="Times New Roman" w:hAnsi="Times New Roman" w:cs="Times New Roman"/>
        </w:rPr>
      </w:pPr>
    </w:p>
    <w:p w14:paraId="128E1F74" w14:textId="6EE3B485" w:rsidR="005521BA" w:rsidRPr="00420CEA" w:rsidRDefault="005521BA" w:rsidP="007B771B">
      <w:pPr>
        <w:pBdr>
          <w:top w:val="single" w:sz="4" w:space="1" w:color="17365D" w:themeColor="text2" w:themeShade="BF"/>
          <w:left w:val="single" w:sz="4" w:space="15" w:color="17365D" w:themeColor="text2" w:themeShade="BF"/>
          <w:bottom w:val="single" w:sz="4" w:space="1" w:color="17365D" w:themeColor="text2" w:themeShade="BF"/>
          <w:right w:val="single" w:sz="4" w:space="4" w:color="17365D" w:themeColor="text2" w:themeShade="BF"/>
        </w:pBdr>
        <w:spacing w:after="0" w:line="240" w:lineRule="auto"/>
        <w:ind w:left="360"/>
        <w:rPr>
          <w:rFonts w:ascii="Times New Roman" w:hAnsi="Times New Roman" w:cs="Times New Roman"/>
          <w:b/>
        </w:rPr>
      </w:pPr>
      <w:r w:rsidRPr="00420CEA">
        <w:rPr>
          <w:rFonts w:ascii="Times New Roman" w:hAnsi="Times New Roman" w:cs="Times New Roman"/>
          <w:b/>
        </w:rPr>
        <w:t>All GOHS grantees are expected to fulfill the following requirements in addition to the terms and conditions in the grant application:</w:t>
      </w:r>
    </w:p>
    <w:p w14:paraId="715955FE" w14:textId="77777777" w:rsidR="005521BA" w:rsidRPr="0055622D" w:rsidRDefault="005521BA" w:rsidP="005521BA">
      <w:pPr>
        <w:spacing w:after="0" w:line="240" w:lineRule="auto"/>
        <w:rPr>
          <w:rFonts w:ascii="Times New Roman" w:hAnsi="Times New Roman" w:cs="Times New Roman"/>
        </w:rPr>
      </w:pPr>
    </w:p>
    <w:p w14:paraId="0B44DB9A" w14:textId="1A399025" w:rsidR="005521BA" w:rsidRPr="00783E51" w:rsidRDefault="00BA798E" w:rsidP="00783E51">
      <w:pPr>
        <w:pStyle w:val="BodyText"/>
        <w:numPr>
          <w:ilvl w:val="3"/>
          <w:numId w:val="1"/>
        </w:numPr>
        <w:ind w:left="360"/>
        <w:rPr>
          <w:rFonts w:ascii="Arial" w:hAnsi="Arial" w:cs="Arial"/>
        </w:rPr>
      </w:pPr>
      <w:r w:rsidRPr="00783E51">
        <w:rPr>
          <w:rFonts w:ascii="Arial" w:hAnsi="Arial" w:cs="Arial"/>
        </w:rPr>
        <w:t xml:space="preserve">Budget </w:t>
      </w:r>
      <w:r w:rsidR="00777E1A" w:rsidRPr="00783E51">
        <w:rPr>
          <w:rFonts w:ascii="Arial" w:hAnsi="Arial" w:cs="Arial"/>
        </w:rPr>
        <w:t xml:space="preserve">amendments </w:t>
      </w:r>
      <w:r w:rsidR="001B588C" w:rsidRPr="00783E51">
        <w:rPr>
          <w:rFonts w:ascii="Arial" w:hAnsi="Arial" w:cs="Arial"/>
        </w:rPr>
        <w:t xml:space="preserve">must be submitted in </w:t>
      </w:r>
      <w:r w:rsidR="00AB4595" w:rsidRPr="00783E51">
        <w:rPr>
          <w:rFonts w:ascii="Arial" w:hAnsi="Arial" w:cs="Arial"/>
        </w:rPr>
        <w:t xml:space="preserve">the GOHS grants management system </w:t>
      </w:r>
      <w:r w:rsidR="001B588C" w:rsidRPr="00783E51">
        <w:rPr>
          <w:rFonts w:ascii="Arial" w:hAnsi="Arial" w:cs="Arial"/>
        </w:rPr>
        <w:t>prior to June 30th. After June 30th, only amendments regarding personnel changes will be accepted and approved by GOHS before the grant period ends.</w:t>
      </w:r>
    </w:p>
    <w:p w14:paraId="4E30CDB3" w14:textId="048D3BF2" w:rsidR="00783E51" w:rsidRPr="00783E51" w:rsidRDefault="00783E51" w:rsidP="00783E51">
      <w:pPr>
        <w:pStyle w:val="ListParagraph"/>
        <w:numPr>
          <w:ilvl w:val="0"/>
          <w:numId w:val="1"/>
        </w:numPr>
        <w:spacing w:after="100" w:line="240" w:lineRule="auto"/>
        <w:ind w:left="360"/>
        <w:contextualSpacing w:val="0"/>
        <w:rPr>
          <w:rFonts w:ascii="Arial" w:hAnsi="Arial" w:cs="Arial"/>
        </w:rPr>
      </w:pPr>
      <w:r w:rsidRPr="00783E51">
        <w:rPr>
          <w:rFonts w:ascii="Arial" w:hAnsi="Arial" w:cs="Arial"/>
        </w:rPr>
        <w:t xml:space="preserve">All public awareness/education materials/items developed as part of the grant must receive prior approval from GOHS and include the current GOHS logo and/or a statement that indicates the project is sponsored by the Governor's Office of Highway Safety. </w:t>
      </w:r>
      <w:r w:rsidR="00C46B7F" w:rsidRPr="00C46B7F">
        <w:rPr>
          <w:rFonts w:ascii="Arial" w:eastAsia="Calibri" w:hAnsi="Arial" w:cs="Arial"/>
        </w:rPr>
        <w:t>Along with the submission of the request for reimbursement (claim) of such material/item, the sub-recipient shall submit to GOHS a photo or scan of the final product produced as part of the grant.</w:t>
      </w:r>
    </w:p>
    <w:p w14:paraId="58F54F75" w14:textId="2943BB3A" w:rsidR="001B588C" w:rsidRPr="00783E51" w:rsidRDefault="005521BA" w:rsidP="00783E51">
      <w:pPr>
        <w:pStyle w:val="ListParagraph"/>
        <w:numPr>
          <w:ilvl w:val="0"/>
          <w:numId w:val="1"/>
        </w:numPr>
        <w:spacing w:before="120" w:after="0" w:line="247" w:lineRule="auto"/>
        <w:ind w:left="360"/>
        <w:contextualSpacing w:val="0"/>
        <w:rPr>
          <w:rFonts w:ascii="Arial" w:hAnsi="Arial" w:cs="Arial"/>
        </w:rPr>
      </w:pPr>
      <w:r w:rsidRPr="00783E51">
        <w:rPr>
          <w:rFonts w:ascii="Arial" w:hAnsi="Arial" w:cs="Arial"/>
        </w:rPr>
        <w:t xml:space="preserve">Grantees must obtain prior </w:t>
      </w:r>
      <w:r w:rsidR="007F10F2" w:rsidRPr="00783E51">
        <w:rPr>
          <w:rFonts w:ascii="Arial" w:hAnsi="Arial" w:cs="Arial"/>
        </w:rPr>
        <w:t xml:space="preserve">written </w:t>
      </w:r>
      <w:r w:rsidRPr="00783E51">
        <w:rPr>
          <w:rFonts w:ascii="Arial" w:hAnsi="Arial" w:cs="Arial"/>
        </w:rPr>
        <w:t>approval from GOHS before any out of state travel.</w:t>
      </w:r>
      <w:r w:rsidR="00BA798E" w:rsidRPr="00783E51">
        <w:rPr>
          <w:rFonts w:ascii="Arial" w:hAnsi="Arial" w:cs="Arial"/>
        </w:rPr>
        <w:t xml:space="preserve"> Approval of an out-of-state travel line item in your application does not constitute automatic approval of that travel.</w:t>
      </w:r>
      <w:r w:rsidR="00E7041D" w:rsidRPr="00783E51">
        <w:rPr>
          <w:rFonts w:ascii="Arial" w:hAnsi="Arial" w:cs="Arial"/>
        </w:rPr>
        <w:t xml:space="preserve"> </w:t>
      </w:r>
      <w:r w:rsidR="001B588C" w:rsidRPr="00783E51">
        <w:rPr>
          <w:rFonts w:ascii="Arial" w:hAnsi="Arial" w:cs="Arial"/>
        </w:rPr>
        <w:t xml:space="preserve">A Travel Authorization Request Form must be </w:t>
      </w:r>
      <w:r w:rsidR="008810DC" w:rsidRPr="00783E51">
        <w:rPr>
          <w:rFonts w:ascii="Arial" w:hAnsi="Arial" w:cs="Arial"/>
        </w:rPr>
        <w:t>submitted</w:t>
      </w:r>
      <w:r w:rsidR="001B588C" w:rsidRPr="00783E51">
        <w:rPr>
          <w:rFonts w:ascii="Arial" w:hAnsi="Arial" w:cs="Arial"/>
        </w:rPr>
        <w:t xml:space="preserve"> in </w:t>
      </w:r>
      <w:r w:rsidR="00AB4595" w:rsidRPr="00783E51">
        <w:rPr>
          <w:rFonts w:ascii="Arial" w:hAnsi="Arial" w:cs="Arial"/>
        </w:rPr>
        <w:t xml:space="preserve">the GOHS grants management system </w:t>
      </w:r>
      <w:r w:rsidR="001B588C" w:rsidRPr="00783E51">
        <w:rPr>
          <w:rFonts w:ascii="Arial" w:hAnsi="Arial" w:cs="Arial"/>
        </w:rPr>
        <w:t xml:space="preserve">approximately four (4) weeks prior to the actual travel date. Claims and Progress Reports must be </w:t>
      </w:r>
      <w:r w:rsidR="00BA798E" w:rsidRPr="00783E51">
        <w:rPr>
          <w:rFonts w:ascii="Arial" w:hAnsi="Arial" w:cs="Arial"/>
        </w:rPr>
        <w:t>up to date</w:t>
      </w:r>
      <w:r w:rsidR="001B588C" w:rsidRPr="00783E51">
        <w:rPr>
          <w:rFonts w:ascii="Arial" w:hAnsi="Arial" w:cs="Arial"/>
        </w:rPr>
        <w:t xml:space="preserve"> prior to approval.</w:t>
      </w:r>
      <w:r w:rsidR="00EF141B">
        <w:rPr>
          <w:rFonts w:ascii="Arial" w:hAnsi="Arial" w:cs="Arial"/>
        </w:rPr>
        <w:t xml:space="preserve"> </w:t>
      </w:r>
      <w:r w:rsidR="001B588C" w:rsidRPr="00783E51">
        <w:rPr>
          <w:rFonts w:ascii="Arial" w:hAnsi="Arial" w:cs="Arial"/>
        </w:rPr>
        <w:t xml:space="preserve">In addition, the school policies for </w:t>
      </w:r>
      <w:r w:rsidR="00315C1C" w:rsidRPr="00783E51">
        <w:rPr>
          <w:rFonts w:ascii="Arial" w:hAnsi="Arial" w:cs="Arial"/>
        </w:rPr>
        <w:t>travel must also be adhered to. If there are no policies, the school must adhere to the GOHS travel policies. T</w:t>
      </w:r>
      <w:r w:rsidR="00204C02" w:rsidRPr="00783E51">
        <w:rPr>
          <w:rFonts w:ascii="Arial" w:hAnsi="Arial" w:cs="Arial"/>
        </w:rPr>
        <w:t>ravel cannot exceed the cost for three people, or the budget line item. Any travel for more than three people, or more than the allocated line item will have to be covere</w:t>
      </w:r>
      <w:r w:rsidR="00315C1C" w:rsidRPr="00783E51">
        <w:rPr>
          <w:rFonts w:ascii="Arial" w:hAnsi="Arial" w:cs="Arial"/>
        </w:rPr>
        <w:t>d by the college or university.</w:t>
      </w:r>
    </w:p>
    <w:p w14:paraId="55F631D1" w14:textId="26727A83" w:rsidR="005521BA" w:rsidRPr="00783E51" w:rsidRDefault="005521BA" w:rsidP="00783E51">
      <w:pPr>
        <w:pStyle w:val="ListParagraph"/>
        <w:numPr>
          <w:ilvl w:val="0"/>
          <w:numId w:val="1"/>
        </w:numPr>
        <w:spacing w:before="120" w:after="0" w:line="247" w:lineRule="auto"/>
        <w:ind w:left="360"/>
        <w:contextualSpacing w:val="0"/>
        <w:rPr>
          <w:rFonts w:ascii="Arial" w:hAnsi="Arial" w:cs="Arial"/>
        </w:rPr>
      </w:pPr>
      <w:r w:rsidRPr="00783E51">
        <w:rPr>
          <w:rFonts w:ascii="Arial" w:hAnsi="Arial" w:cs="Arial"/>
        </w:rPr>
        <w:t>All contractual agreements (speakers</w:t>
      </w:r>
      <w:r w:rsidR="00AB4595" w:rsidRPr="00783E51">
        <w:rPr>
          <w:rFonts w:ascii="Arial" w:hAnsi="Arial" w:cs="Arial"/>
        </w:rPr>
        <w:t xml:space="preserve">, </w:t>
      </w:r>
      <w:r w:rsidRPr="00783E51">
        <w:rPr>
          <w:rFonts w:ascii="Arial" w:hAnsi="Arial" w:cs="Arial"/>
        </w:rPr>
        <w:t>DUI simulators</w:t>
      </w:r>
      <w:r w:rsidR="00AB4595" w:rsidRPr="00783E51">
        <w:rPr>
          <w:rFonts w:ascii="Arial" w:hAnsi="Arial" w:cs="Arial"/>
        </w:rPr>
        <w:t>, etc.</w:t>
      </w:r>
      <w:r w:rsidRPr="00783E51">
        <w:rPr>
          <w:rFonts w:ascii="Arial" w:hAnsi="Arial" w:cs="Arial"/>
        </w:rPr>
        <w:t xml:space="preserve">) must </w:t>
      </w:r>
      <w:r w:rsidR="008810DC" w:rsidRPr="00783E51">
        <w:rPr>
          <w:rFonts w:ascii="Arial" w:hAnsi="Arial" w:cs="Arial"/>
        </w:rPr>
        <w:t xml:space="preserve">receive prior written approval from GOHS. A copy of the contract must be submitted and approved by GOHS prior to execution. Programs must </w:t>
      </w:r>
      <w:r w:rsidRPr="00783E51">
        <w:rPr>
          <w:rFonts w:ascii="Arial" w:hAnsi="Arial" w:cs="Arial"/>
        </w:rPr>
        <w:t>have a preventative impaired driving and/or underage drinking focus</w:t>
      </w:r>
      <w:r w:rsidR="008810DC" w:rsidRPr="00783E51">
        <w:rPr>
          <w:rFonts w:ascii="Arial" w:hAnsi="Arial" w:cs="Arial"/>
        </w:rPr>
        <w:t xml:space="preserve">. </w:t>
      </w:r>
      <w:r w:rsidR="006F2482" w:rsidRPr="00783E51">
        <w:rPr>
          <w:rFonts w:ascii="Arial" w:hAnsi="Arial" w:cs="Arial"/>
        </w:rPr>
        <w:t xml:space="preserve">Mental Health speakers/activities </w:t>
      </w:r>
      <w:r w:rsidR="006F2482" w:rsidRPr="00783E51">
        <w:rPr>
          <w:rFonts w:ascii="Arial" w:hAnsi="Arial" w:cs="Arial"/>
          <w:b/>
        </w:rPr>
        <w:t>will not</w:t>
      </w:r>
      <w:r w:rsidR="006F2482" w:rsidRPr="00783E51">
        <w:rPr>
          <w:rFonts w:ascii="Arial" w:hAnsi="Arial" w:cs="Arial"/>
        </w:rPr>
        <w:t xml:space="preserve"> be covered under </w:t>
      </w:r>
      <w:r w:rsidR="00783E51" w:rsidRPr="00783E51">
        <w:rPr>
          <w:rFonts w:ascii="Arial" w:hAnsi="Arial" w:cs="Arial"/>
        </w:rPr>
        <w:t>the GOHS</w:t>
      </w:r>
      <w:r w:rsidR="006F2482" w:rsidRPr="00783E51">
        <w:rPr>
          <w:rFonts w:ascii="Arial" w:hAnsi="Arial" w:cs="Arial"/>
        </w:rPr>
        <w:t xml:space="preserve"> grant.</w:t>
      </w:r>
    </w:p>
    <w:p w14:paraId="60E1F17F" w14:textId="484CF445" w:rsidR="005521BA" w:rsidRPr="00783E51" w:rsidRDefault="005521BA" w:rsidP="00783E51">
      <w:pPr>
        <w:pStyle w:val="ListParagraph"/>
        <w:numPr>
          <w:ilvl w:val="0"/>
          <w:numId w:val="1"/>
        </w:numPr>
        <w:spacing w:before="120" w:after="0" w:line="247" w:lineRule="auto"/>
        <w:ind w:left="360"/>
        <w:contextualSpacing w:val="0"/>
        <w:rPr>
          <w:rFonts w:ascii="Arial" w:hAnsi="Arial" w:cs="Arial"/>
        </w:rPr>
      </w:pPr>
      <w:r w:rsidRPr="00783E51">
        <w:rPr>
          <w:rFonts w:ascii="Arial" w:hAnsi="Arial" w:cs="Arial"/>
        </w:rPr>
        <w:t>All YA grantees will be limited to a maximum of $</w:t>
      </w:r>
      <w:r w:rsidR="00D6629C">
        <w:rPr>
          <w:rFonts w:ascii="Arial" w:hAnsi="Arial" w:cs="Arial"/>
        </w:rPr>
        <w:t>2</w:t>
      </w:r>
      <w:r w:rsidRPr="00783E51">
        <w:rPr>
          <w:rFonts w:ascii="Arial" w:hAnsi="Arial" w:cs="Arial"/>
        </w:rPr>
        <w:t>,000.00 reimbursable amount per contracted speaker.</w:t>
      </w:r>
    </w:p>
    <w:p w14:paraId="56FA756B" w14:textId="77777777" w:rsidR="005521BA" w:rsidRPr="00783E51" w:rsidRDefault="00777E1A" w:rsidP="00783E51">
      <w:pPr>
        <w:pStyle w:val="ListParagraph"/>
        <w:numPr>
          <w:ilvl w:val="0"/>
          <w:numId w:val="1"/>
        </w:numPr>
        <w:spacing w:before="120" w:after="0" w:line="247" w:lineRule="auto"/>
        <w:ind w:left="360"/>
        <w:contextualSpacing w:val="0"/>
        <w:rPr>
          <w:rFonts w:ascii="Arial" w:hAnsi="Arial" w:cs="Arial"/>
        </w:rPr>
      </w:pPr>
      <w:r w:rsidRPr="00783E51">
        <w:rPr>
          <w:rFonts w:ascii="Arial" w:hAnsi="Arial" w:cs="Arial"/>
        </w:rPr>
        <w:t xml:space="preserve">Grantees </w:t>
      </w:r>
      <w:r w:rsidR="005521BA" w:rsidRPr="00783E51">
        <w:rPr>
          <w:rFonts w:ascii="Arial" w:hAnsi="Arial" w:cs="Arial"/>
        </w:rPr>
        <w:t xml:space="preserve">are required to send the advisor </w:t>
      </w:r>
      <w:r w:rsidRPr="00783E51">
        <w:rPr>
          <w:rFonts w:ascii="Arial" w:hAnsi="Arial" w:cs="Arial"/>
        </w:rPr>
        <w:t>and two</w:t>
      </w:r>
      <w:r w:rsidR="007F10F2" w:rsidRPr="00783E51">
        <w:rPr>
          <w:rFonts w:ascii="Arial" w:hAnsi="Arial" w:cs="Arial"/>
        </w:rPr>
        <w:t xml:space="preserve"> (2) </w:t>
      </w:r>
      <w:r w:rsidR="005521BA" w:rsidRPr="00783E51">
        <w:rPr>
          <w:rFonts w:ascii="Arial" w:hAnsi="Arial" w:cs="Arial"/>
        </w:rPr>
        <w:t xml:space="preserve">peer educators to the GOHS Youth and Young Adult Conference (even years only). </w:t>
      </w:r>
    </w:p>
    <w:p w14:paraId="6177735E" w14:textId="77777777" w:rsidR="005521BA" w:rsidRDefault="005521BA" w:rsidP="00783E51">
      <w:pPr>
        <w:pStyle w:val="ListParagraph"/>
        <w:numPr>
          <w:ilvl w:val="0"/>
          <w:numId w:val="1"/>
        </w:numPr>
        <w:spacing w:before="120" w:after="0" w:line="247" w:lineRule="auto"/>
        <w:ind w:left="360"/>
        <w:contextualSpacing w:val="0"/>
        <w:rPr>
          <w:rFonts w:ascii="Arial" w:hAnsi="Arial" w:cs="Arial"/>
        </w:rPr>
      </w:pPr>
      <w:r w:rsidRPr="00783E51">
        <w:rPr>
          <w:rFonts w:ascii="Arial" w:hAnsi="Arial" w:cs="Arial"/>
        </w:rPr>
        <w:t xml:space="preserve">All grantees are required to publicize their GOHS awarded grant with the media, utilizing print, internet, radio and/or television within the first (1st) quarter of the approved grant.  </w:t>
      </w:r>
      <w:r w:rsidR="00777E1A" w:rsidRPr="00783E51">
        <w:rPr>
          <w:rFonts w:ascii="Arial" w:hAnsi="Arial" w:cs="Arial"/>
          <w:b/>
        </w:rPr>
        <w:t>Grantees should submit and receive GOHS approval prior to releasing their grant announcement to the public.</w:t>
      </w:r>
      <w:r w:rsidR="00777E1A" w:rsidRPr="00783E51">
        <w:rPr>
          <w:rFonts w:ascii="Arial" w:hAnsi="Arial" w:cs="Arial"/>
        </w:rPr>
        <w:t xml:space="preserve">  </w:t>
      </w:r>
      <w:r w:rsidRPr="00783E51">
        <w:rPr>
          <w:rFonts w:ascii="Arial" w:hAnsi="Arial" w:cs="Arial"/>
        </w:rPr>
        <w:t>Records must be kept and provided to GOHS of all print media articles related to the grant as well as a copy of all announcements.</w:t>
      </w:r>
    </w:p>
    <w:p w14:paraId="762B3DF7" w14:textId="2E562934" w:rsidR="00783E51" w:rsidRPr="00783E51" w:rsidRDefault="00783E51" w:rsidP="00783E51">
      <w:pPr>
        <w:pStyle w:val="BodyText"/>
        <w:numPr>
          <w:ilvl w:val="0"/>
          <w:numId w:val="1"/>
        </w:numPr>
        <w:spacing w:before="120" w:after="0" w:line="247" w:lineRule="auto"/>
        <w:ind w:left="360"/>
        <w:rPr>
          <w:rFonts w:ascii="Arial" w:hAnsi="Arial" w:cs="Arial"/>
        </w:rPr>
      </w:pPr>
      <w:r w:rsidRPr="00783E51">
        <w:rPr>
          <w:rFonts w:ascii="Arial" w:hAnsi="Arial" w:cs="Arial"/>
          <w:w w:val="105"/>
        </w:rPr>
        <w:t>Grantee must submit a “Final Report” highlighting objectives met/unmet, major accomplishments, etc. The established due date will be provided by GOHS prior to the end of fiscal year.</w:t>
      </w:r>
    </w:p>
    <w:p w14:paraId="42E5B67B" w14:textId="77777777" w:rsidR="00783E51" w:rsidRDefault="00783E51" w:rsidP="00783E51">
      <w:pPr>
        <w:pStyle w:val="BodyText"/>
        <w:spacing w:before="120" w:after="0" w:line="247" w:lineRule="auto"/>
        <w:rPr>
          <w:rFonts w:ascii="Arial" w:hAnsi="Arial" w:cs="Arial"/>
          <w:w w:val="105"/>
        </w:rPr>
      </w:pPr>
    </w:p>
    <w:p w14:paraId="046057E7" w14:textId="77777777" w:rsidR="00783E51" w:rsidRPr="00783E51" w:rsidRDefault="00783E51" w:rsidP="00783E51">
      <w:pPr>
        <w:pStyle w:val="BodyText"/>
        <w:spacing w:before="120" w:after="0" w:line="247" w:lineRule="auto"/>
        <w:rPr>
          <w:rFonts w:ascii="Arial" w:hAnsi="Arial" w:cs="Arial"/>
        </w:rPr>
      </w:pPr>
    </w:p>
    <w:p w14:paraId="3E91D3C3" w14:textId="50F1F1D3" w:rsidR="005521BA" w:rsidRPr="00783E51" w:rsidRDefault="00777E1A" w:rsidP="00783E51">
      <w:pPr>
        <w:pStyle w:val="BodyText"/>
        <w:numPr>
          <w:ilvl w:val="0"/>
          <w:numId w:val="1"/>
        </w:numPr>
        <w:spacing w:before="120" w:after="0" w:line="247" w:lineRule="auto"/>
        <w:ind w:left="360"/>
        <w:rPr>
          <w:rFonts w:ascii="Arial" w:hAnsi="Arial" w:cs="Arial"/>
        </w:rPr>
      </w:pPr>
      <w:r w:rsidRPr="00783E51">
        <w:rPr>
          <w:rFonts w:ascii="Arial" w:hAnsi="Arial" w:cs="Arial"/>
        </w:rPr>
        <w:t>Grantees</w:t>
      </w:r>
      <w:r w:rsidR="007F10F2" w:rsidRPr="00783E51">
        <w:rPr>
          <w:rFonts w:ascii="Arial" w:hAnsi="Arial" w:cs="Arial"/>
        </w:rPr>
        <w:t xml:space="preserve"> must submit a monthly programmatic and claim reports via</w:t>
      </w:r>
      <w:r w:rsidR="00983D18" w:rsidRPr="00783E51">
        <w:rPr>
          <w:rFonts w:ascii="Arial" w:hAnsi="Arial" w:cs="Arial"/>
        </w:rPr>
        <w:t xml:space="preserve"> the GOHS grants management system.  </w:t>
      </w:r>
      <w:r w:rsidR="007F10F2" w:rsidRPr="00783E51">
        <w:rPr>
          <w:rFonts w:ascii="Arial" w:hAnsi="Arial" w:cs="Arial"/>
        </w:rPr>
        <w:t>Monthly reports are due by the 20</w:t>
      </w:r>
      <w:r w:rsidR="007F10F2" w:rsidRPr="00783E51">
        <w:rPr>
          <w:rFonts w:ascii="Arial" w:hAnsi="Arial" w:cs="Arial"/>
          <w:vertAlign w:val="superscript"/>
        </w:rPr>
        <w:t>th</w:t>
      </w:r>
      <w:r w:rsidR="007F10F2" w:rsidRPr="00783E51">
        <w:rPr>
          <w:rFonts w:ascii="Arial" w:hAnsi="Arial" w:cs="Arial"/>
        </w:rPr>
        <w:t xml:space="preserve"> of the month after expenses and activities </w:t>
      </w:r>
      <w:r w:rsidR="00783E51" w:rsidRPr="00783E51">
        <w:rPr>
          <w:rFonts w:ascii="Arial" w:hAnsi="Arial" w:cs="Arial"/>
        </w:rPr>
        <w:t>have occurred</w:t>
      </w:r>
      <w:r w:rsidR="007F10F2" w:rsidRPr="00783E51">
        <w:rPr>
          <w:rFonts w:ascii="Arial" w:hAnsi="Arial" w:cs="Arial"/>
        </w:rPr>
        <w:t xml:space="preserve">. </w:t>
      </w:r>
      <w:r w:rsidR="00F608AB" w:rsidRPr="00783E51">
        <w:rPr>
          <w:rFonts w:ascii="Arial" w:hAnsi="Arial" w:cs="Arial"/>
        </w:rPr>
        <w:t>For example, October’s monthly report is due by November 20</w:t>
      </w:r>
      <w:r w:rsidR="00FE7591" w:rsidRPr="00783E51">
        <w:rPr>
          <w:rFonts w:ascii="Arial" w:hAnsi="Arial" w:cs="Arial"/>
          <w:vertAlign w:val="superscript"/>
        </w:rPr>
        <w:t xml:space="preserve">th. </w:t>
      </w:r>
      <w:r w:rsidR="00FE7591" w:rsidRPr="00783E51">
        <w:rPr>
          <w:rFonts w:ascii="Arial" w:hAnsi="Arial" w:cs="Arial"/>
        </w:rPr>
        <w:t xml:space="preserve"> </w:t>
      </w:r>
      <w:r w:rsidR="007F10F2" w:rsidRPr="00783E51">
        <w:rPr>
          <w:rFonts w:ascii="Arial" w:hAnsi="Arial" w:cs="Arial"/>
        </w:rPr>
        <w:t>Monthly reports must document preventative underage drinking and impaired driving initiatives.</w:t>
      </w:r>
      <w:r w:rsidR="00FE7591" w:rsidRPr="00783E51">
        <w:rPr>
          <w:rFonts w:ascii="Arial" w:hAnsi="Arial" w:cs="Arial"/>
        </w:rPr>
        <w:t xml:space="preserve"> </w:t>
      </w:r>
      <w:r w:rsidR="007F10F2" w:rsidRPr="00783E51">
        <w:rPr>
          <w:rFonts w:ascii="Arial" w:hAnsi="Arial" w:cs="Arial"/>
        </w:rPr>
        <w:t xml:space="preserve">Please note that financial claims will not be processed without a submitted programmatic report reflecting/supporting the expenses for the month. </w:t>
      </w:r>
    </w:p>
    <w:p w14:paraId="7B75A7EB" w14:textId="12CCAC12" w:rsidR="00D47730" w:rsidRPr="00783E51" w:rsidRDefault="007F10F2" w:rsidP="00783E51">
      <w:pPr>
        <w:pStyle w:val="BodyText"/>
        <w:numPr>
          <w:ilvl w:val="0"/>
          <w:numId w:val="1"/>
        </w:numPr>
        <w:spacing w:before="120" w:after="0" w:line="247" w:lineRule="auto"/>
        <w:ind w:left="360"/>
        <w:rPr>
          <w:rFonts w:ascii="Arial" w:hAnsi="Arial" w:cs="Arial"/>
        </w:rPr>
      </w:pPr>
      <w:r w:rsidRPr="00783E51">
        <w:rPr>
          <w:rFonts w:ascii="Arial" w:hAnsi="Arial" w:cs="Arial"/>
        </w:rPr>
        <w:t>Schools are required to complete at least two observational safety belt surveys between October 1</w:t>
      </w:r>
      <w:r w:rsidRPr="00783E51">
        <w:rPr>
          <w:rFonts w:ascii="Arial" w:hAnsi="Arial" w:cs="Arial"/>
          <w:vertAlign w:val="superscript"/>
        </w:rPr>
        <w:t>st</w:t>
      </w:r>
      <w:r w:rsidR="00872BE4" w:rsidRPr="00783E51">
        <w:rPr>
          <w:rFonts w:ascii="Arial" w:hAnsi="Arial" w:cs="Arial"/>
        </w:rPr>
        <w:t xml:space="preserve"> and September 30</w:t>
      </w:r>
      <w:r w:rsidR="00872BE4" w:rsidRPr="00783E51">
        <w:rPr>
          <w:rFonts w:ascii="Arial" w:hAnsi="Arial" w:cs="Arial"/>
          <w:vertAlign w:val="superscript"/>
        </w:rPr>
        <w:t>th</w:t>
      </w:r>
      <w:r w:rsidR="00872BE4" w:rsidRPr="00783E51">
        <w:rPr>
          <w:rFonts w:ascii="Arial" w:hAnsi="Arial" w:cs="Arial"/>
        </w:rPr>
        <w:t>. S</w:t>
      </w:r>
      <w:r w:rsidRPr="00783E51">
        <w:rPr>
          <w:rFonts w:ascii="Arial" w:hAnsi="Arial" w:cs="Arial"/>
        </w:rPr>
        <w:t xml:space="preserve">urvey results must be reported to GOHS within the appropriate monthly programmatic report. It is suggested to complete the pre-survey in December and the post in April. </w:t>
      </w:r>
      <w:r w:rsidR="005521BA" w:rsidRPr="00783E51">
        <w:rPr>
          <w:rFonts w:ascii="Arial" w:hAnsi="Arial" w:cs="Arial"/>
        </w:rPr>
        <w:t>Reporting includes submitting cop</w:t>
      </w:r>
      <w:r w:rsidRPr="00783E51">
        <w:rPr>
          <w:rFonts w:ascii="Arial" w:hAnsi="Arial" w:cs="Arial"/>
        </w:rPr>
        <w:t>ies</w:t>
      </w:r>
      <w:r w:rsidR="005521BA" w:rsidRPr="00783E51">
        <w:rPr>
          <w:rFonts w:ascii="Arial" w:hAnsi="Arial" w:cs="Arial"/>
        </w:rPr>
        <w:t xml:space="preserve"> of survey</w:t>
      </w:r>
      <w:r w:rsidRPr="00783E51">
        <w:rPr>
          <w:rFonts w:ascii="Arial" w:hAnsi="Arial" w:cs="Arial"/>
        </w:rPr>
        <w:t>s</w:t>
      </w:r>
      <w:r w:rsidR="005521BA" w:rsidRPr="00783E51">
        <w:rPr>
          <w:rFonts w:ascii="Arial" w:hAnsi="Arial" w:cs="Arial"/>
        </w:rPr>
        <w:t xml:space="preserve">, as well as tallying up results and demonstrating percentage of seat belt usage rate. </w:t>
      </w:r>
    </w:p>
    <w:p w14:paraId="6BB7D888" w14:textId="31F94C6C" w:rsidR="00D47730" w:rsidRPr="00783E51" w:rsidRDefault="005521BA" w:rsidP="00783E51">
      <w:pPr>
        <w:pStyle w:val="ListParagraph"/>
        <w:numPr>
          <w:ilvl w:val="0"/>
          <w:numId w:val="1"/>
        </w:numPr>
        <w:spacing w:before="120" w:after="0" w:line="247" w:lineRule="auto"/>
        <w:ind w:left="360"/>
        <w:contextualSpacing w:val="0"/>
        <w:rPr>
          <w:rFonts w:ascii="Arial" w:hAnsi="Arial" w:cs="Arial"/>
        </w:rPr>
      </w:pPr>
      <w:r w:rsidRPr="00783E51">
        <w:rPr>
          <w:rFonts w:ascii="Arial" w:hAnsi="Arial" w:cs="Arial"/>
        </w:rPr>
        <w:t xml:space="preserve">All YA grants must complete a CORE, ACHA-NCHA, or </w:t>
      </w:r>
      <w:proofErr w:type="spellStart"/>
      <w:r w:rsidRPr="00783E51">
        <w:rPr>
          <w:rFonts w:ascii="Arial" w:hAnsi="Arial" w:cs="Arial"/>
        </w:rPr>
        <w:t>AlcoholEdu</w:t>
      </w:r>
      <w:proofErr w:type="spellEnd"/>
      <w:r w:rsidRPr="00783E51">
        <w:rPr>
          <w:rFonts w:ascii="Arial" w:hAnsi="Arial" w:cs="Arial"/>
        </w:rPr>
        <w:t xml:space="preserve"> Survey once every two years.</w:t>
      </w:r>
    </w:p>
    <w:p w14:paraId="5D506BE3" w14:textId="77777777" w:rsidR="005521BA" w:rsidRPr="00783E51" w:rsidRDefault="005521BA" w:rsidP="00783E51">
      <w:pPr>
        <w:pStyle w:val="ListParagraph"/>
        <w:numPr>
          <w:ilvl w:val="0"/>
          <w:numId w:val="1"/>
        </w:numPr>
        <w:spacing w:before="120" w:after="0" w:line="247" w:lineRule="auto"/>
        <w:ind w:left="360"/>
        <w:contextualSpacing w:val="0"/>
        <w:rPr>
          <w:rFonts w:ascii="Arial" w:hAnsi="Arial" w:cs="Arial"/>
        </w:rPr>
      </w:pPr>
      <w:r w:rsidRPr="00783E51">
        <w:rPr>
          <w:rFonts w:ascii="Arial" w:hAnsi="Arial" w:cs="Arial"/>
        </w:rPr>
        <w:t>At least one (1) educational program should be in partnership with a local police department, non-profit, or high school near the college/university campus.</w:t>
      </w:r>
    </w:p>
    <w:p w14:paraId="7147CF0F" w14:textId="153414A7" w:rsidR="005521BA" w:rsidRPr="00783E51" w:rsidRDefault="005521BA" w:rsidP="00783E51">
      <w:pPr>
        <w:pStyle w:val="ListParagraph"/>
        <w:numPr>
          <w:ilvl w:val="0"/>
          <w:numId w:val="1"/>
        </w:numPr>
        <w:spacing w:before="120" w:after="0" w:line="247" w:lineRule="auto"/>
        <w:ind w:left="360"/>
        <w:contextualSpacing w:val="0"/>
        <w:rPr>
          <w:rFonts w:ascii="Arial" w:hAnsi="Arial" w:cs="Arial"/>
        </w:rPr>
      </w:pPr>
      <w:r w:rsidRPr="00783E51">
        <w:rPr>
          <w:rFonts w:ascii="Arial" w:hAnsi="Arial" w:cs="Arial"/>
        </w:rPr>
        <w:t xml:space="preserve">Grantee must submit to GOHS a job description for each position listed and budgeted within their application within the first (1st) quarter of the grant period. The description may also be included in the Resource Requirement section of the grant application. </w:t>
      </w:r>
    </w:p>
    <w:p w14:paraId="0A090830" w14:textId="14ABE077" w:rsidR="00D22A54" w:rsidRPr="00783E51" w:rsidRDefault="00D22A54" w:rsidP="00783E51">
      <w:pPr>
        <w:pStyle w:val="ListParagraph"/>
        <w:numPr>
          <w:ilvl w:val="0"/>
          <w:numId w:val="1"/>
        </w:numPr>
        <w:spacing w:before="120" w:after="0" w:line="247" w:lineRule="auto"/>
        <w:ind w:left="360"/>
        <w:contextualSpacing w:val="0"/>
        <w:rPr>
          <w:rFonts w:ascii="Arial" w:hAnsi="Arial" w:cs="Arial"/>
        </w:rPr>
      </w:pPr>
      <w:r w:rsidRPr="00783E51">
        <w:rPr>
          <w:rFonts w:ascii="Arial" w:hAnsi="Arial" w:cs="Arial"/>
          <w:b/>
          <w:bCs/>
        </w:rPr>
        <w:t>FORMAL EVENTS with meals</w:t>
      </w:r>
      <w:r w:rsidRPr="00783E51">
        <w:rPr>
          <w:rFonts w:ascii="Arial" w:hAnsi="Arial" w:cs="Arial"/>
        </w:rPr>
        <w:t xml:space="preserve"> – Grantee should submit an agenda and lesson plan (or similar document) to the GOHS Grant Manager prior to the event so it can be reviewed by GOHS staff.  If approved, the event to include meals, can be held. Approval of meals within the application does not constitute approval to purchase meals for attendees. This must receive approval outside of the grant. When submitting for reimbursement, the agenda, lesson plan (or similar document), and a sign-in sheet must be attached to the claim.</w:t>
      </w:r>
    </w:p>
    <w:p w14:paraId="6ADF6C5B" w14:textId="77777777" w:rsidR="005521BA" w:rsidRPr="00783E51" w:rsidRDefault="005521BA" w:rsidP="00783E51">
      <w:pPr>
        <w:spacing w:after="0" w:line="240" w:lineRule="auto"/>
        <w:rPr>
          <w:rFonts w:ascii="Arial" w:hAnsi="Arial" w:cs="Arial"/>
        </w:rPr>
      </w:pPr>
    </w:p>
    <w:p w14:paraId="184CCD48" w14:textId="77777777" w:rsidR="00032747" w:rsidRPr="00783E51" w:rsidRDefault="00032747" w:rsidP="00783E51">
      <w:pPr>
        <w:spacing w:after="0" w:line="240" w:lineRule="auto"/>
        <w:rPr>
          <w:rFonts w:ascii="Arial" w:hAnsi="Arial" w:cs="Arial"/>
        </w:rPr>
      </w:pPr>
    </w:p>
    <w:p w14:paraId="556BFE20" w14:textId="77777777" w:rsidR="00032747" w:rsidRPr="00783E51" w:rsidRDefault="00032747" w:rsidP="00D47730">
      <w:pPr>
        <w:spacing w:after="0" w:line="240" w:lineRule="auto"/>
        <w:jc w:val="both"/>
        <w:rPr>
          <w:rFonts w:ascii="Arial" w:hAnsi="Arial" w:cs="Arial"/>
        </w:rPr>
      </w:pPr>
    </w:p>
    <w:p w14:paraId="2B00E998" w14:textId="77777777" w:rsidR="00777E1A" w:rsidRPr="00783E51" w:rsidRDefault="005521BA" w:rsidP="00777E1A">
      <w:pPr>
        <w:spacing w:after="0" w:line="240" w:lineRule="auto"/>
        <w:jc w:val="center"/>
        <w:rPr>
          <w:rFonts w:ascii="Arial" w:hAnsi="Arial" w:cs="Arial"/>
          <w:b/>
          <w:bCs/>
        </w:rPr>
      </w:pPr>
      <w:r w:rsidRPr="00783E51">
        <w:rPr>
          <w:rFonts w:ascii="Arial" w:hAnsi="Arial" w:cs="Arial"/>
          <w:b/>
          <w:bCs/>
        </w:rPr>
        <w:t>Please direct any questions about your grant and/or the</w:t>
      </w:r>
      <w:r w:rsidR="00C43206" w:rsidRPr="00783E51">
        <w:rPr>
          <w:rFonts w:ascii="Arial" w:hAnsi="Arial" w:cs="Arial"/>
          <w:b/>
          <w:bCs/>
        </w:rPr>
        <w:t xml:space="preserve">se conditions to </w:t>
      </w:r>
    </w:p>
    <w:p w14:paraId="5D0E2922" w14:textId="0F96924A" w:rsidR="005521BA" w:rsidRPr="00783E51" w:rsidRDefault="00D6629C" w:rsidP="00777E1A">
      <w:pPr>
        <w:spacing w:after="0" w:line="240" w:lineRule="auto"/>
        <w:jc w:val="center"/>
        <w:rPr>
          <w:rFonts w:ascii="Arial" w:hAnsi="Arial" w:cs="Arial"/>
          <w:b/>
          <w:bCs/>
        </w:rPr>
      </w:pPr>
      <w:r>
        <w:rPr>
          <w:rFonts w:ascii="Arial" w:hAnsi="Arial" w:cs="Arial"/>
          <w:b/>
          <w:bCs/>
        </w:rPr>
        <w:t>Courtney Gaines</w:t>
      </w:r>
      <w:r w:rsidR="005521BA" w:rsidRPr="00783E51">
        <w:rPr>
          <w:rFonts w:ascii="Arial" w:hAnsi="Arial" w:cs="Arial"/>
          <w:b/>
          <w:bCs/>
        </w:rPr>
        <w:t xml:space="preserve"> at </w:t>
      </w:r>
      <w:r>
        <w:rPr>
          <w:rFonts w:ascii="Arial" w:hAnsi="Arial" w:cs="Arial"/>
          <w:b/>
          <w:bCs/>
        </w:rPr>
        <w:t>cgaines</w:t>
      </w:r>
      <w:r w:rsidR="00FF6AD7" w:rsidRPr="00783E51">
        <w:rPr>
          <w:rFonts w:ascii="Arial" w:hAnsi="Arial" w:cs="Arial"/>
          <w:b/>
          <w:bCs/>
        </w:rPr>
        <w:t>@gohs.ga.gov</w:t>
      </w:r>
      <w:r w:rsidR="00777E1A" w:rsidRPr="00783E51">
        <w:rPr>
          <w:rFonts w:ascii="Arial" w:hAnsi="Arial" w:cs="Arial"/>
          <w:b/>
          <w:bCs/>
        </w:rPr>
        <w:t xml:space="preserve"> </w:t>
      </w:r>
      <w:r w:rsidR="005521BA" w:rsidRPr="00783E51">
        <w:rPr>
          <w:rFonts w:ascii="Arial" w:hAnsi="Arial" w:cs="Arial"/>
          <w:b/>
          <w:bCs/>
        </w:rPr>
        <w:t xml:space="preserve">or </w:t>
      </w:r>
      <w:r w:rsidR="00F608AB" w:rsidRPr="00783E51">
        <w:rPr>
          <w:rFonts w:ascii="Arial" w:hAnsi="Arial" w:cs="Arial"/>
          <w:b/>
          <w:bCs/>
        </w:rPr>
        <w:t>4</w:t>
      </w:r>
      <w:r>
        <w:rPr>
          <w:rFonts w:ascii="Arial" w:hAnsi="Arial" w:cs="Arial"/>
          <w:b/>
          <w:bCs/>
        </w:rPr>
        <w:t>70</w:t>
      </w:r>
      <w:r w:rsidR="00F608AB" w:rsidRPr="00783E51">
        <w:rPr>
          <w:rFonts w:ascii="Arial" w:hAnsi="Arial" w:cs="Arial"/>
          <w:b/>
          <w:bCs/>
        </w:rPr>
        <w:t>-</w:t>
      </w:r>
      <w:r>
        <w:rPr>
          <w:rFonts w:ascii="Arial" w:hAnsi="Arial" w:cs="Arial"/>
          <w:b/>
          <w:bCs/>
        </w:rPr>
        <w:t>970-8599</w:t>
      </w:r>
    </w:p>
    <w:p w14:paraId="034CF10B" w14:textId="77777777" w:rsidR="005521BA" w:rsidRPr="00783E51" w:rsidRDefault="005521BA" w:rsidP="00D47730">
      <w:pPr>
        <w:jc w:val="both"/>
        <w:rPr>
          <w:rFonts w:ascii="Arial" w:hAnsi="Arial" w:cs="Arial"/>
        </w:rPr>
      </w:pPr>
      <w:r w:rsidRPr="00783E51">
        <w:rPr>
          <w:rFonts w:ascii="Arial" w:hAnsi="Arial" w:cs="Arial"/>
        </w:rPr>
        <w:br w:type="page"/>
      </w:r>
    </w:p>
    <w:p w14:paraId="477C63A1" w14:textId="77777777" w:rsidR="005521BA" w:rsidRPr="00C46B7F" w:rsidRDefault="005521BA" w:rsidP="005521BA">
      <w:pPr>
        <w:spacing w:after="0" w:line="240" w:lineRule="auto"/>
        <w:jc w:val="center"/>
        <w:rPr>
          <w:rFonts w:ascii="Arial" w:hAnsi="Arial" w:cs="Arial"/>
          <w:b/>
        </w:rPr>
      </w:pPr>
      <w:r w:rsidRPr="00C46B7F">
        <w:rPr>
          <w:rFonts w:ascii="Arial" w:hAnsi="Arial" w:cs="Arial"/>
          <w:b/>
        </w:rPr>
        <w:lastRenderedPageBreak/>
        <w:t>Unallowable Items</w:t>
      </w:r>
    </w:p>
    <w:p w14:paraId="0A06E485" w14:textId="77777777" w:rsidR="005521BA" w:rsidRPr="00C46B7F" w:rsidRDefault="005521BA" w:rsidP="005521BA">
      <w:pPr>
        <w:spacing w:after="0" w:line="240" w:lineRule="auto"/>
        <w:rPr>
          <w:rFonts w:ascii="Arial" w:hAnsi="Arial" w:cs="Arial"/>
        </w:rPr>
      </w:pPr>
    </w:p>
    <w:p w14:paraId="45796B4D" w14:textId="77777777" w:rsidR="005521BA" w:rsidRPr="00C46B7F" w:rsidRDefault="005521BA" w:rsidP="00983D18">
      <w:pPr>
        <w:spacing w:after="0" w:line="257" w:lineRule="auto"/>
        <w:rPr>
          <w:rFonts w:ascii="Arial" w:hAnsi="Arial" w:cs="Arial"/>
        </w:rPr>
      </w:pPr>
      <w:r w:rsidRPr="00C46B7F">
        <w:rPr>
          <w:rFonts w:ascii="Arial" w:hAnsi="Arial" w:cs="Arial"/>
        </w:rPr>
        <w:t>Due to Federal Funding Guidelines, the following expenses will not be allowable under the terms of your young adult program grant:</w:t>
      </w:r>
    </w:p>
    <w:p w14:paraId="5E165086" w14:textId="77777777" w:rsidR="005521BA" w:rsidRPr="00C46B7F" w:rsidRDefault="005521BA" w:rsidP="005521BA">
      <w:pPr>
        <w:spacing w:after="0" w:line="240" w:lineRule="auto"/>
        <w:rPr>
          <w:rFonts w:ascii="Arial" w:hAnsi="Arial" w:cs="Arial"/>
        </w:rPr>
      </w:pPr>
    </w:p>
    <w:p w14:paraId="191BFF92" w14:textId="77777777" w:rsidR="005521BA" w:rsidRPr="00C46B7F" w:rsidRDefault="005521BA" w:rsidP="00983D18">
      <w:pPr>
        <w:pStyle w:val="ListParagraph"/>
        <w:numPr>
          <w:ilvl w:val="0"/>
          <w:numId w:val="2"/>
        </w:numPr>
        <w:spacing w:after="120" w:line="240" w:lineRule="auto"/>
        <w:contextualSpacing w:val="0"/>
        <w:rPr>
          <w:rFonts w:ascii="Arial" w:hAnsi="Arial" w:cs="Arial"/>
        </w:rPr>
      </w:pPr>
      <w:r w:rsidRPr="00C46B7F">
        <w:rPr>
          <w:rFonts w:ascii="Arial" w:hAnsi="Arial" w:cs="Arial"/>
        </w:rPr>
        <w:t>Entertainment costs—including amusement, social activities and any cost directly related with such costs (such as tickets to shows, sporting events, meals, lodging, rentals, transportation and gratuities). This includes rental of popcorn machines, rock-climbing walls and other entertainment options that may be used in conjunction with an event.</w:t>
      </w:r>
    </w:p>
    <w:p w14:paraId="3DCC5EC5" w14:textId="77777777" w:rsidR="005521BA" w:rsidRPr="00C46B7F" w:rsidRDefault="005521BA" w:rsidP="00983D18">
      <w:pPr>
        <w:pStyle w:val="ListParagraph"/>
        <w:numPr>
          <w:ilvl w:val="0"/>
          <w:numId w:val="2"/>
        </w:numPr>
        <w:spacing w:after="120" w:line="240" w:lineRule="auto"/>
        <w:contextualSpacing w:val="0"/>
        <w:rPr>
          <w:rFonts w:ascii="Arial" w:hAnsi="Arial" w:cs="Arial"/>
        </w:rPr>
      </w:pPr>
      <w:r w:rsidRPr="00C46B7F">
        <w:rPr>
          <w:rFonts w:ascii="Arial" w:hAnsi="Arial" w:cs="Arial"/>
        </w:rPr>
        <w:t>Promotional/incentive type items, such as Peer Health Educator t-shirts/polos, cozies, keychains, pens/highlighters, water bottles, backpacks, hats, gifts, or prizes etc.</w:t>
      </w:r>
    </w:p>
    <w:p w14:paraId="50967565" w14:textId="77777777" w:rsidR="005521BA" w:rsidRPr="00C46B7F" w:rsidRDefault="005521BA" w:rsidP="00983D18">
      <w:pPr>
        <w:pStyle w:val="ListParagraph"/>
        <w:numPr>
          <w:ilvl w:val="0"/>
          <w:numId w:val="2"/>
        </w:numPr>
        <w:spacing w:after="120" w:line="240" w:lineRule="auto"/>
        <w:contextualSpacing w:val="0"/>
        <w:rPr>
          <w:rFonts w:ascii="Arial" w:hAnsi="Arial" w:cs="Arial"/>
        </w:rPr>
      </w:pPr>
      <w:r w:rsidRPr="00C46B7F">
        <w:rPr>
          <w:rFonts w:ascii="Arial" w:hAnsi="Arial" w:cs="Arial"/>
        </w:rPr>
        <w:t>Cost for construction, rehabilitation, remodeling of any buildings or structures or for purchase of office furnishings and fixtures.  Examples include desk, chair, bookcase, filing cabinet, storage cabinet, etc.</w:t>
      </w:r>
    </w:p>
    <w:p w14:paraId="43B79F3D" w14:textId="77777777" w:rsidR="005521BA" w:rsidRPr="00C46B7F" w:rsidRDefault="005521BA" w:rsidP="00983D18">
      <w:pPr>
        <w:pStyle w:val="ListParagraph"/>
        <w:numPr>
          <w:ilvl w:val="0"/>
          <w:numId w:val="2"/>
        </w:numPr>
        <w:spacing w:after="120" w:line="240" w:lineRule="auto"/>
        <w:contextualSpacing w:val="0"/>
        <w:rPr>
          <w:rFonts w:ascii="Arial" w:hAnsi="Arial" w:cs="Arial"/>
        </w:rPr>
      </w:pPr>
      <w:r w:rsidRPr="00C46B7F">
        <w:rPr>
          <w:rFonts w:ascii="Arial" w:hAnsi="Arial" w:cs="Arial"/>
        </w:rPr>
        <w:t>Candy is not allowable.</w:t>
      </w:r>
    </w:p>
    <w:p w14:paraId="127DCC7A" w14:textId="1F7F50E9" w:rsidR="005521BA" w:rsidRPr="00C46B7F" w:rsidRDefault="005521BA" w:rsidP="00983D18">
      <w:pPr>
        <w:pStyle w:val="ListParagraph"/>
        <w:numPr>
          <w:ilvl w:val="0"/>
          <w:numId w:val="2"/>
        </w:numPr>
        <w:spacing w:after="120" w:line="240" w:lineRule="auto"/>
        <w:contextualSpacing w:val="0"/>
        <w:rPr>
          <w:rFonts w:ascii="Arial" w:hAnsi="Arial" w:cs="Arial"/>
        </w:rPr>
      </w:pPr>
      <w:r w:rsidRPr="00C46B7F">
        <w:rPr>
          <w:rFonts w:ascii="Arial" w:hAnsi="Arial" w:cs="Arial"/>
        </w:rPr>
        <w:t>Costs a</w:t>
      </w:r>
      <w:r w:rsidR="00983D18" w:rsidRPr="00C46B7F">
        <w:rPr>
          <w:rFonts w:ascii="Arial" w:hAnsi="Arial" w:cs="Arial"/>
        </w:rPr>
        <w:t>r</w:t>
      </w:r>
      <w:r w:rsidRPr="00C46B7F">
        <w:rPr>
          <w:rFonts w:ascii="Arial" w:hAnsi="Arial" w:cs="Arial"/>
        </w:rPr>
        <w:t xml:space="preserve">e allowable to support underage drinking prevention and/or impaired driving prevention highway safety projects to adopt highway safety practices.  Documentation must be available to show that such activities do not violate state law.  </w:t>
      </w:r>
      <w:r w:rsidRPr="00C46B7F">
        <w:rPr>
          <w:rFonts w:ascii="Arial" w:hAnsi="Arial" w:cs="Arial"/>
          <w:b/>
          <w:bCs/>
        </w:rPr>
        <w:t>All educational items and activities must directly relate to project objectives.</w:t>
      </w:r>
      <w:r w:rsidRPr="00C46B7F">
        <w:rPr>
          <w:rFonts w:ascii="Arial" w:hAnsi="Arial" w:cs="Arial"/>
        </w:rPr>
        <w:t xml:space="preserve"> Printed educational items purchased with GOHS grant funds should have “in partnership with GOHS” or the GOHS logo on </w:t>
      </w:r>
      <w:r w:rsidR="00983D18" w:rsidRPr="00C46B7F">
        <w:rPr>
          <w:rFonts w:ascii="Arial" w:hAnsi="Arial" w:cs="Arial"/>
        </w:rPr>
        <w:t>them and</w:t>
      </w:r>
      <w:r w:rsidRPr="00C46B7F">
        <w:rPr>
          <w:rFonts w:ascii="Arial" w:hAnsi="Arial" w:cs="Arial"/>
        </w:rPr>
        <w:t xml:space="preserve"> must receive prior approval as noted in the Special Conditions. </w:t>
      </w:r>
    </w:p>
    <w:p w14:paraId="280133EB" w14:textId="77777777" w:rsidR="005521BA" w:rsidRPr="00C46B7F" w:rsidRDefault="005521BA" w:rsidP="00983D18">
      <w:pPr>
        <w:pStyle w:val="ListParagraph"/>
        <w:numPr>
          <w:ilvl w:val="0"/>
          <w:numId w:val="2"/>
        </w:numPr>
        <w:spacing w:after="120" w:line="240" w:lineRule="auto"/>
        <w:contextualSpacing w:val="0"/>
        <w:rPr>
          <w:rFonts w:ascii="Arial" w:hAnsi="Arial" w:cs="Arial"/>
        </w:rPr>
      </w:pPr>
      <w:r w:rsidRPr="00C46B7F">
        <w:rPr>
          <w:rFonts w:ascii="Arial" w:hAnsi="Arial" w:cs="Arial"/>
        </w:rPr>
        <w:t xml:space="preserve">All expenses must be “reasonable, necessary and allocable” </w:t>
      </w:r>
      <w:proofErr w:type="gramStart"/>
      <w:r w:rsidRPr="00C46B7F">
        <w:rPr>
          <w:rFonts w:ascii="Arial" w:hAnsi="Arial" w:cs="Arial"/>
        </w:rPr>
        <w:t>in order to</w:t>
      </w:r>
      <w:proofErr w:type="gramEnd"/>
      <w:r w:rsidRPr="00C46B7F">
        <w:rPr>
          <w:rFonts w:ascii="Arial" w:hAnsi="Arial" w:cs="Arial"/>
        </w:rPr>
        <w:t xml:space="preserve"> be reimbursed.</w:t>
      </w:r>
    </w:p>
    <w:p w14:paraId="51319703" w14:textId="77777777" w:rsidR="005521BA" w:rsidRPr="00C46B7F" w:rsidRDefault="005521BA" w:rsidP="005521BA">
      <w:pPr>
        <w:spacing w:after="0" w:line="240" w:lineRule="auto"/>
        <w:rPr>
          <w:rFonts w:ascii="Arial" w:hAnsi="Arial" w:cs="Arial"/>
        </w:rPr>
      </w:pPr>
    </w:p>
    <w:p w14:paraId="767B235B" w14:textId="77777777" w:rsidR="005521BA" w:rsidRPr="00C46B7F" w:rsidRDefault="005521BA" w:rsidP="00983D18">
      <w:pPr>
        <w:spacing w:after="0" w:line="257" w:lineRule="auto"/>
        <w:rPr>
          <w:rFonts w:ascii="Arial" w:hAnsi="Arial" w:cs="Arial"/>
        </w:rPr>
      </w:pPr>
      <w:r w:rsidRPr="00C46B7F">
        <w:rPr>
          <w:rFonts w:ascii="Arial" w:hAnsi="Arial" w:cs="Arial"/>
        </w:rPr>
        <w:t>If you have any concerns as to whether an expense may be reimbursed, please contact GOHS prior to any questionable purchase.</w:t>
      </w:r>
    </w:p>
    <w:p w14:paraId="25C4B6D4" w14:textId="77777777" w:rsidR="005521BA" w:rsidRPr="00C46B7F" w:rsidRDefault="005521BA" w:rsidP="005521BA">
      <w:pPr>
        <w:spacing w:after="0" w:line="240" w:lineRule="auto"/>
        <w:rPr>
          <w:rFonts w:ascii="Arial" w:hAnsi="Arial" w:cs="Arial"/>
        </w:rPr>
      </w:pPr>
    </w:p>
    <w:p w14:paraId="06A6A255" w14:textId="77777777" w:rsidR="002F2201" w:rsidRDefault="002F2201"/>
    <w:p w14:paraId="41AE5D03" w14:textId="77777777" w:rsidR="00032747" w:rsidRDefault="00032747"/>
    <w:p w14:paraId="59331687" w14:textId="77777777" w:rsidR="00032747" w:rsidRDefault="00032747"/>
    <w:p w14:paraId="17F41C1A" w14:textId="77777777" w:rsidR="00032747" w:rsidRDefault="00032747"/>
    <w:sectPr w:rsidR="00032747" w:rsidSect="00032747">
      <w:headerReference w:type="default" r:id="rId7"/>
      <w:footerReference w:type="default" r:id="rId8"/>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255B" w14:textId="77777777" w:rsidR="008D49A0" w:rsidRDefault="008D49A0">
      <w:pPr>
        <w:spacing w:after="0" w:line="240" w:lineRule="auto"/>
      </w:pPr>
      <w:r>
        <w:separator/>
      </w:r>
    </w:p>
  </w:endnote>
  <w:endnote w:type="continuationSeparator" w:id="0">
    <w:p w14:paraId="4C7FA7D9" w14:textId="77777777" w:rsidR="008D49A0" w:rsidRDefault="008D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847A" w14:textId="02E52AC1" w:rsidR="002F2201" w:rsidRPr="00783E51" w:rsidRDefault="005521BA" w:rsidP="0055622D">
    <w:pPr>
      <w:pStyle w:val="Footer"/>
      <w:jc w:val="right"/>
      <w:rPr>
        <w:rFonts w:ascii="Arial" w:hAnsi="Arial" w:cs="Arial"/>
        <w:b/>
        <w:color w:val="BFBFBF" w:themeColor="background1" w:themeShade="BF"/>
        <w:sz w:val="18"/>
        <w:szCs w:val="20"/>
      </w:rPr>
    </w:pPr>
    <w:r w:rsidRPr="00783E51">
      <w:rPr>
        <w:rFonts w:ascii="Arial" w:hAnsi="Arial" w:cs="Arial"/>
        <w:b/>
        <w:color w:val="BFBFBF" w:themeColor="background1" w:themeShade="BF"/>
        <w:sz w:val="18"/>
        <w:szCs w:val="20"/>
      </w:rPr>
      <w:t xml:space="preserve">                                                                                                                                       </w:t>
    </w:r>
    <w:r w:rsidR="00C43206" w:rsidRPr="00783E51">
      <w:rPr>
        <w:rFonts w:ascii="Arial" w:hAnsi="Arial" w:cs="Arial"/>
        <w:b/>
        <w:color w:val="BFBFBF" w:themeColor="background1" w:themeShade="BF"/>
        <w:sz w:val="18"/>
        <w:szCs w:val="20"/>
      </w:rPr>
      <w:t xml:space="preserve">Updated </w:t>
    </w:r>
    <w:r w:rsidR="00F355B6" w:rsidRPr="00783E51">
      <w:rPr>
        <w:rFonts w:ascii="Arial" w:hAnsi="Arial" w:cs="Arial"/>
        <w:b/>
        <w:color w:val="BFBFBF" w:themeColor="background1" w:themeShade="BF"/>
        <w:sz w:val="18"/>
        <w:szCs w:val="20"/>
      </w:rPr>
      <w:t>August 2024</w:t>
    </w:r>
  </w:p>
  <w:p w14:paraId="4DF603CD" w14:textId="77777777" w:rsidR="002F2201" w:rsidRDefault="002F2201">
    <w:pPr>
      <w:pStyle w:val="Footer"/>
    </w:pPr>
  </w:p>
  <w:p w14:paraId="71FCB440" w14:textId="77777777" w:rsidR="002F2201" w:rsidRDefault="002F2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DEAC" w14:textId="77777777" w:rsidR="008D49A0" w:rsidRDefault="008D49A0">
      <w:pPr>
        <w:spacing w:after="0" w:line="240" w:lineRule="auto"/>
      </w:pPr>
      <w:r>
        <w:separator/>
      </w:r>
    </w:p>
  </w:footnote>
  <w:footnote w:type="continuationSeparator" w:id="0">
    <w:p w14:paraId="48FEE17C" w14:textId="77777777" w:rsidR="008D49A0" w:rsidRDefault="008D4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20D3" w14:textId="77777777" w:rsidR="00783E51" w:rsidRPr="00783E51" w:rsidRDefault="00783E51" w:rsidP="00783E51">
    <w:pPr>
      <w:keepNext/>
      <w:spacing w:after="0" w:line="240" w:lineRule="auto"/>
      <w:jc w:val="center"/>
      <w:outlineLvl w:val="1"/>
      <w:rPr>
        <w:rFonts w:ascii="Arial" w:eastAsia="Times New Roman" w:hAnsi="Arial" w:cs="Arial"/>
        <w:b/>
        <w:sz w:val="32"/>
        <w:szCs w:val="24"/>
      </w:rPr>
    </w:pPr>
    <w:r w:rsidRPr="00783E51">
      <w:rPr>
        <w:rFonts w:ascii="Arial" w:eastAsia="Times New Roman" w:hAnsi="Arial" w:cs="Arial"/>
        <w:b/>
        <w:sz w:val="32"/>
        <w:szCs w:val="24"/>
      </w:rPr>
      <w:t>GOVERNOR’S OFFICE OF HIGHWAY SAFETY</w:t>
    </w:r>
    <w:r w:rsidRPr="00783E51">
      <w:rPr>
        <w:rFonts w:ascii="Arial" w:eastAsia="Times New Roman" w:hAnsi="Arial" w:cs="Arial"/>
        <w:sz w:val="32"/>
        <w:szCs w:val="24"/>
      </w:rPr>
      <w:t xml:space="preserve"> </w:t>
    </w:r>
    <w:r w:rsidRPr="00783E51">
      <w:rPr>
        <w:rFonts w:ascii="Arial" w:eastAsia="Times New Roman" w:hAnsi="Arial" w:cs="Arial"/>
        <w:b/>
        <w:sz w:val="32"/>
        <w:szCs w:val="24"/>
      </w:rPr>
      <w:t>GRANT`</w:t>
    </w:r>
  </w:p>
  <w:p w14:paraId="0723FFB2" w14:textId="77777777" w:rsidR="00783E51" w:rsidRPr="00783E51" w:rsidRDefault="00783E51" w:rsidP="00783E51">
    <w:pPr>
      <w:spacing w:after="120"/>
      <w:jc w:val="center"/>
      <w:rPr>
        <w:rFonts w:ascii="Arial" w:eastAsia="Calibri" w:hAnsi="Arial" w:cs="Arial"/>
        <w:b/>
        <w:sz w:val="32"/>
      </w:rPr>
    </w:pPr>
    <w:r w:rsidRPr="00783E51">
      <w:rPr>
        <w:rFonts w:ascii="Arial" w:eastAsia="Calibri" w:hAnsi="Arial" w:cs="Arial"/>
        <w:b/>
        <w:sz w:val="32"/>
      </w:rPr>
      <w:t>SPECIAL CONDITIONS</w:t>
    </w:r>
  </w:p>
  <w:p w14:paraId="5152FB81" w14:textId="4EE341D7" w:rsidR="002F2201" w:rsidRDefault="00783E51" w:rsidP="00783E51">
    <w:pPr>
      <w:tabs>
        <w:tab w:val="center" w:pos="4680"/>
        <w:tab w:val="right" w:pos="9360"/>
      </w:tabs>
      <w:spacing w:after="0" w:line="240" w:lineRule="auto"/>
      <w:jc w:val="center"/>
      <w:rPr>
        <w:rFonts w:ascii="Arial" w:eastAsia="Calibri" w:hAnsi="Arial" w:cs="Arial"/>
        <w:b/>
        <w:sz w:val="32"/>
      </w:rPr>
    </w:pPr>
    <w:r>
      <w:rPr>
        <w:rFonts w:ascii="Arial" w:eastAsia="Calibri" w:hAnsi="Arial" w:cs="Arial"/>
        <w:b/>
        <w:sz w:val="32"/>
      </w:rPr>
      <w:t>Young Adult (YA) Highway Safety Program</w:t>
    </w:r>
  </w:p>
  <w:p w14:paraId="16B09AB6" w14:textId="77777777" w:rsidR="00783E51" w:rsidRPr="00783E51" w:rsidRDefault="00783E51" w:rsidP="00783E51">
    <w:pPr>
      <w:tabs>
        <w:tab w:val="center" w:pos="4680"/>
        <w:tab w:val="right" w:pos="9360"/>
      </w:tabs>
      <w:spacing w:after="0" w:line="240" w:lineRule="auto"/>
      <w:jc w:val="center"/>
      <w:rPr>
        <w:rFonts w:ascii="Arial" w:eastAsia="Calibri"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A3296"/>
    <w:multiLevelType w:val="hybridMultilevel"/>
    <w:tmpl w:val="A5C4DF8C"/>
    <w:lvl w:ilvl="0" w:tplc="AEB8335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529FA"/>
    <w:multiLevelType w:val="multilevel"/>
    <w:tmpl w:val="1C88FD70"/>
    <w:lvl w:ilvl="0">
      <w:start w:val="1"/>
      <w:numFmt w:val="decimal"/>
      <w:lvlText w:val="%1."/>
      <w:lvlJc w:val="left"/>
      <w:pPr>
        <w:tabs>
          <w:tab w:val="num" w:pos="720"/>
        </w:tabs>
        <w:ind w:left="720" w:hanging="360"/>
      </w:pPr>
      <w:rPr>
        <w:rFonts w:hint="default"/>
        <w:b w:val="0"/>
        <w:i w:val="0"/>
        <w:color w:val="00330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58FA3FC8"/>
    <w:multiLevelType w:val="hybridMultilevel"/>
    <w:tmpl w:val="A38A7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54D77"/>
    <w:multiLevelType w:val="hybridMultilevel"/>
    <w:tmpl w:val="136C8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580176">
    <w:abstractNumId w:val="2"/>
  </w:num>
  <w:num w:numId="2" w16cid:durableId="1934167204">
    <w:abstractNumId w:val="3"/>
  </w:num>
  <w:num w:numId="3" w16cid:durableId="1067455547">
    <w:abstractNumId w:val="0"/>
  </w:num>
  <w:num w:numId="4" w16cid:durableId="186813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BA"/>
    <w:rsid w:val="000058A1"/>
    <w:rsid w:val="00032747"/>
    <w:rsid w:val="000E6D75"/>
    <w:rsid w:val="001152F8"/>
    <w:rsid w:val="001B588C"/>
    <w:rsid w:val="001D7612"/>
    <w:rsid w:val="001F6E11"/>
    <w:rsid w:val="00204C02"/>
    <w:rsid w:val="002F2201"/>
    <w:rsid w:val="002F47D6"/>
    <w:rsid w:val="00315C1C"/>
    <w:rsid w:val="00326029"/>
    <w:rsid w:val="0038035D"/>
    <w:rsid w:val="003D670F"/>
    <w:rsid w:val="005521BA"/>
    <w:rsid w:val="005953FA"/>
    <w:rsid w:val="006C4879"/>
    <w:rsid w:val="006F2482"/>
    <w:rsid w:val="00777E1A"/>
    <w:rsid w:val="00783E51"/>
    <w:rsid w:val="007B771B"/>
    <w:rsid w:val="007F10F2"/>
    <w:rsid w:val="00872BE4"/>
    <w:rsid w:val="008810DC"/>
    <w:rsid w:val="008A1FB7"/>
    <w:rsid w:val="008D49A0"/>
    <w:rsid w:val="0095704B"/>
    <w:rsid w:val="00983D18"/>
    <w:rsid w:val="00A6173A"/>
    <w:rsid w:val="00AB4595"/>
    <w:rsid w:val="00BA798E"/>
    <w:rsid w:val="00BF03AE"/>
    <w:rsid w:val="00C43206"/>
    <w:rsid w:val="00C46B7F"/>
    <w:rsid w:val="00C918C2"/>
    <w:rsid w:val="00CA6D8F"/>
    <w:rsid w:val="00CC664B"/>
    <w:rsid w:val="00D22A54"/>
    <w:rsid w:val="00D47730"/>
    <w:rsid w:val="00D6629C"/>
    <w:rsid w:val="00D9461B"/>
    <w:rsid w:val="00DF5BE4"/>
    <w:rsid w:val="00E00D9C"/>
    <w:rsid w:val="00E3009B"/>
    <w:rsid w:val="00E7041D"/>
    <w:rsid w:val="00EB1BE6"/>
    <w:rsid w:val="00EB6B8B"/>
    <w:rsid w:val="00EC236D"/>
    <w:rsid w:val="00EC50B8"/>
    <w:rsid w:val="00EF141B"/>
    <w:rsid w:val="00F355B6"/>
    <w:rsid w:val="00F608AB"/>
    <w:rsid w:val="00FE519F"/>
    <w:rsid w:val="00FE7591"/>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8CE2"/>
  <w15:docId w15:val="{315AACF1-6791-4368-94F5-C7183C5C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1BA"/>
    <w:pPr>
      <w:spacing w:after="160" w:line="259" w:lineRule="auto"/>
    </w:pPr>
  </w:style>
  <w:style w:type="paragraph" w:styleId="Heading2">
    <w:name w:val="heading 2"/>
    <w:basedOn w:val="Normal"/>
    <w:next w:val="Normal"/>
    <w:link w:val="Heading2Char"/>
    <w:qFormat/>
    <w:rsid w:val="005521BA"/>
    <w:pPr>
      <w:keepNext/>
      <w:spacing w:after="240" w:line="240" w:lineRule="auto"/>
      <w:jc w:val="center"/>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21BA"/>
    <w:rPr>
      <w:rFonts w:ascii="Times New Roman" w:eastAsia="Times New Roman" w:hAnsi="Times New Roman" w:cs="Times New Roman"/>
      <w:b/>
      <w:sz w:val="24"/>
      <w:szCs w:val="24"/>
    </w:rPr>
  </w:style>
  <w:style w:type="paragraph" w:styleId="ListParagraph">
    <w:name w:val="List Paragraph"/>
    <w:basedOn w:val="Normal"/>
    <w:uiPriority w:val="34"/>
    <w:qFormat/>
    <w:rsid w:val="005521BA"/>
    <w:pPr>
      <w:ind w:left="720"/>
      <w:contextualSpacing/>
    </w:pPr>
  </w:style>
  <w:style w:type="paragraph" w:styleId="Footer">
    <w:name w:val="footer"/>
    <w:basedOn w:val="Normal"/>
    <w:link w:val="FooterChar"/>
    <w:unhideWhenUsed/>
    <w:rsid w:val="005521BA"/>
    <w:pPr>
      <w:tabs>
        <w:tab w:val="center" w:pos="4680"/>
        <w:tab w:val="right" w:pos="9360"/>
      </w:tabs>
      <w:spacing w:after="0" w:line="240" w:lineRule="auto"/>
    </w:pPr>
  </w:style>
  <w:style w:type="character" w:customStyle="1" w:styleId="FooterChar">
    <w:name w:val="Footer Char"/>
    <w:basedOn w:val="DefaultParagraphFont"/>
    <w:link w:val="Footer"/>
    <w:rsid w:val="005521BA"/>
  </w:style>
  <w:style w:type="paragraph" w:styleId="Header">
    <w:name w:val="header"/>
    <w:basedOn w:val="Normal"/>
    <w:link w:val="HeaderChar"/>
    <w:uiPriority w:val="99"/>
    <w:unhideWhenUsed/>
    <w:rsid w:val="00C43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06"/>
  </w:style>
  <w:style w:type="paragraph" w:styleId="BodyText">
    <w:name w:val="Body Text"/>
    <w:basedOn w:val="Normal"/>
    <w:link w:val="BodyTextChar"/>
    <w:uiPriority w:val="1"/>
    <w:qFormat/>
    <w:rsid w:val="001B588C"/>
    <w:pPr>
      <w:widowControl w:val="0"/>
      <w:autoSpaceDE w:val="0"/>
      <w:autoSpaceDN w:val="0"/>
      <w:spacing w:after="8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B588C"/>
    <w:rPr>
      <w:rFonts w:ascii="Times New Roman" w:eastAsia="Times New Roman" w:hAnsi="Times New Roman" w:cs="Times New Roman"/>
    </w:rPr>
  </w:style>
  <w:style w:type="character" w:styleId="Hyperlink">
    <w:name w:val="Hyperlink"/>
    <w:basedOn w:val="DefaultParagraphFont"/>
    <w:uiPriority w:val="99"/>
    <w:unhideWhenUsed/>
    <w:rsid w:val="00777E1A"/>
    <w:rPr>
      <w:color w:val="0000FF" w:themeColor="hyperlink"/>
      <w:u w:val="single"/>
    </w:rPr>
  </w:style>
  <w:style w:type="paragraph" w:styleId="Revision">
    <w:name w:val="Revision"/>
    <w:hidden/>
    <w:uiPriority w:val="99"/>
    <w:semiHidden/>
    <w:rsid w:val="008810DC"/>
    <w:pPr>
      <w:spacing w:after="0" w:line="240" w:lineRule="auto"/>
    </w:pPr>
  </w:style>
  <w:style w:type="character" w:styleId="CommentReference">
    <w:name w:val="annotation reference"/>
    <w:basedOn w:val="DefaultParagraphFont"/>
    <w:uiPriority w:val="99"/>
    <w:semiHidden/>
    <w:unhideWhenUsed/>
    <w:rsid w:val="00BA798E"/>
    <w:rPr>
      <w:sz w:val="16"/>
      <w:szCs w:val="16"/>
    </w:rPr>
  </w:style>
  <w:style w:type="paragraph" w:styleId="CommentText">
    <w:name w:val="annotation text"/>
    <w:basedOn w:val="Normal"/>
    <w:link w:val="CommentTextChar"/>
    <w:uiPriority w:val="99"/>
    <w:unhideWhenUsed/>
    <w:rsid w:val="00BA798E"/>
    <w:pPr>
      <w:spacing w:line="240" w:lineRule="auto"/>
    </w:pPr>
    <w:rPr>
      <w:sz w:val="20"/>
      <w:szCs w:val="20"/>
    </w:rPr>
  </w:style>
  <w:style w:type="character" w:customStyle="1" w:styleId="CommentTextChar">
    <w:name w:val="Comment Text Char"/>
    <w:basedOn w:val="DefaultParagraphFont"/>
    <w:link w:val="CommentText"/>
    <w:uiPriority w:val="99"/>
    <w:rsid w:val="00BA798E"/>
    <w:rPr>
      <w:sz w:val="20"/>
      <w:szCs w:val="20"/>
    </w:rPr>
  </w:style>
  <w:style w:type="paragraph" w:styleId="CommentSubject">
    <w:name w:val="annotation subject"/>
    <w:basedOn w:val="CommentText"/>
    <w:next w:val="CommentText"/>
    <w:link w:val="CommentSubjectChar"/>
    <w:uiPriority w:val="99"/>
    <w:semiHidden/>
    <w:unhideWhenUsed/>
    <w:rsid w:val="00BA798E"/>
    <w:rPr>
      <w:b/>
      <w:bCs/>
    </w:rPr>
  </w:style>
  <w:style w:type="character" w:customStyle="1" w:styleId="CommentSubjectChar">
    <w:name w:val="Comment Subject Char"/>
    <w:basedOn w:val="CommentTextChar"/>
    <w:link w:val="CommentSubject"/>
    <w:uiPriority w:val="99"/>
    <w:semiHidden/>
    <w:rsid w:val="00BA7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4260">
      <w:bodyDiv w:val="1"/>
      <w:marLeft w:val="0"/>
      <w:marRight w:val="0"/>
      <w:marTop w:val="0"/>
      <w:marBottom w:val="0"/>
      <w:divBdr>
        <w:top w:val="none" w:sz="0" w:space="0" w:color="auto"/>
        <w:left w:val="none" w:sz="0" w:space="0" w:color="auto"/>
        <w:bottom w:val="none" w:sz="0" w:space="0" w:color="auto"/>
        <w:right w:val="none" w:sz="0" w:space="0" w:color="auto"/>
      </w:divBdr>
    </w:div>
    <w:div w:id="11372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Cardin, Kathryn</dc:creator>
  <cp:lastModifiedBy>Woods, Scarlett</cp:lastModifiedBy>
  <cp:revision>2</cp:revision>
  <cp:lastPrinted>2023-09-06T13:14:00Z</cp:lastPrinted>
  <dcterms:created xsi:type="dcterms:W3CDTF">2025-08-05T12:30:00Z</dcterms:created>
  <dcterms:modified xsi:type="dcterms:W3CDTF">2025-08-05T12:30:00Z</dcterms:modified>
</cp:coreProperties>
</file>